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4" w:name="_GoBack"/>
      <w:bookmarkEnd w:id="4"/>
      <w:r>
        <w:rPr>
          <w:bCs/>
          <w:sz w:val="28"/>
          <w:szCs w:val="28"/>
        </w:rPr>
        <w:t>МУНИЦИПАЛЬНОЕ ОБРАЗОВАНИЕ</w:t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СЕЛЬСКОЕ ПОСЕЛЕНИЕ СЕЛИЯРОВО</w:t>
      </w:r>
    </w:p>
    <w:p>
      <w:pPr>
        <w:jc w:val="center"/>
        <w:rPr>
          <w:sz w:val="28"/>
          <w:szCs w:val="28"/>
          <w:lang w:val="zh-CN" w:eastAsia="zh-CN"/>
        </w:rPr>
      </w:pPr>
      <w:r>
        <w:rPr>
          <w:sz w:val="28"/>
          <w:szCs w:val="28"/>
          <w:lang w:val="zh-CN" w:eastAsia="zh-CN"/>
        </w:rPr>
        <w:t>Ханты-Мансийский автономный округ – Югра</w:t>
      </w:r>
    </w:p>
    <w:p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СЕЛЬСКОГО ПОСЕЛЕНИЯ СЕЛИЯРОВО</w:t>
      </w:r>
    </w:p>
    <w:p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Е Н И Е</w:t>
      </w:r>
    </w:p>
    <w:p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>
      <w:pPr>
        <w:widowControl w:val="0"/>
        <w:tabs>
          <w:tab w:val="left" w:pos="6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15.12.2021                                                                                                 № 55</w:t>
      </w:r>
    </w:p>
    <w:p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с. Селиярово </w:t>
      </w:r>
    </w:p>
    <w:p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>
      <w:pPr>
        <w:pStyle w:val="2"/>
        <w:jc w:val="left"/>
        <w:rPr>
          <w:szCs w:val="28"/>
        </w:rPr>
      </w:pPr>
      <w:r>
        <w:rPr>
          <w:szCs w:val="28"/>
        </w:rPr>
        <w:t>О назначении публичных слушаний</w:t>
      </w:r>
    </w:p>
    <w:p>
      <w:pPr>
        <w:pStyle w:val="2"/>
        <w:jc w:val="left"/>
        <w:rPr>
          <w:szCs w:val="28"/>
        </w:rPr>
      </w:pPr>
      <w:r>
        <w:rPr>
          <w:szCs w:val="28"/>
        </w:rPr>
        <w:t>по проекту внесения изменений в решение</w:t>
      </w:r>
    </w:p>
    <w:p>
      <w:pPr>
        <w:pStyle w:val="2"/>
        <w:jc w:val="left"/>
        <w:rPr>
          <w:szCs w:val="28"/>
        </w:rPr>
      </w:pPr>
      <w:r>
        <w:rPr>
          <w:szCs w:val="28"/>
        </w:rPr>
        <w:t>Совета депутатов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Селиярово от 20.02.2012 № 163 «Об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утверждении правил землепользования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и застройки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Селиярово»</w:t>
      </w:r>
    </w:p>
    <w:p>
      <w:pPr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33 Градостроительного кодекса Российской Федерации, Федеральным законом № 131-ФЗ от 06.10.2003 «Об общих принципах организации местного самоуправления в Российской Федерации», Уставом сельского поселения Селиярово: </w:t>
      </w:r>
    </w:p>
    <w:p>
      <w:pPr>
        <w:ind w:firstLine="709"/>
        <w:jc w:val="both"/>
        <w:rPr>
          <w:sz w:val="28"/>
          <w:szCs w:val="28"/>
        </w:rPr>
      </w:pPr>
    </w:p>
    <w:p>
      <w:pPr>
        <w:pStyle w:val="2"/>
        <w:ind w:firstLine="709"/>
        <w:rPr>
          <w:szCs w:val="28"/>
        </w:rPr>
      </w:pPr>
      <w:r>
        <w:rPr>
          <w:szCs w:val="28"/>
        </w:rPr>
        <w:t>1. Назначить публичные слушания по проекту о внесении изменений в решение Совета депутатов сельского поселения Селиярово от 20.02.2012 № 163 «Об утверждении правил землепользования и застройки сельского поселения Селиярово» на 17 января 2022 года в 17-00 в актовом зале администрации сельского поселения Селиярово, проект прилагается.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2. Установить, что предложения по проекту о внесении изменений в решение Совета депутатов сельского поселения Селиярово от 20.02.2012 № 163 «Об утверждении правил землепользования и застройки сельского поселения Селиярово», направляются в адрес комиссии администрации сельского поселения Селиярово, (с.Селиярово, ул. Братьев-Фирсовых, д.24 «А», контактный телефон: 377-551) в срок до 14.01.2022г.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ответственной за подготовку и проведение публичных слушаний инспектора администрации сельского поселения Селиярово.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постановление в установленном порядке.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постановления оставляю за собой.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А.А. Юдин</w:t>
      </w:r>
    </w:p>
    <w:p>
      <w:pPr>
        <w:rPr>
          <w:spacing w:val="-8"/>
        </w:rPr>
      </w:pPr>
      <w:r>
        <w:rPr>
          <w:spacing w:val="-8"/>
        </w:rPr>
        <w:br w:type="page"/>
      </w:r>
    </w:p>
    <w:p>
      <w:pPr>
        <w:jc w:val="right"/>
        <w:rPr>
          <w:spacing w:val="-8"/>
        </w:rPr>
      </w:pPr>
      <w:r>
        <w:rPr>
          <w:spacing w:val="-8"/>
        </w:rPr>
        <w:t>Приложение 1</w:t>
      </w:r>
    </w:p>
    <w:p>
      <w:pPr>
        <w:shd w:val="clear" w:color="auto" w:fill="FFFFFF"/>
        <w:ind w:firstLine="709"/>
        <w:jc w:val="right"/>
        <w:rPr>
          <w:spacing w:val="-8"/>
        </w:rPr>
      </w:pPr>
      <w:r>
        <w:rPr>
          <w:spacing w:val="-8"/>
        </w:rPr>
        <w:t>к постановлению администрации</w:t>
      </w:r>
    </w:p>
    <w:p>
      <w:pPr>
        <w:shd w:val="clear" w:color="auto" w:fill="FFFFFF"/>
        <w:ind w:firstLine="709"/>
        <w:jc w:val="right"/>
        <w:rPr>
          <w:spacing w:val="-8"/>
        </w:rPr>
      </w:pPr>
      <w:r>
        <w:rPr>
          <w:spacing w:val="-8"/>
        </w:rPr>
        <w:t>сельского поселения Селиярово</w:t>
      </w:r>
    </w:p>
    <w:p>
      <w:pPr>
        <w:shd w:val="clear" w:color="auto" w:fill="FFFFFF"/>
        <w:ind w:firstLine="709"/>
        <w:jc w:val="right"/>
        <w:rPr>
          <w:spacing w:val="-8"/>
        </w:rPr>
      </w:pPr>
      <w:r>
        <w:rPr>
          <w:spacing w:val="-8"/>
        </w:rPr>
        <w:t>от 15.12.2022 № 55</w:t>
      </w:r>
    </w:p>
    <w:p>
      <w:pPr>
        <w:shd w:val="clear" w:color="auto" w:fill="FFFFFF"/>
        <w:ind w:firstLine="709"/>
        <w:jc w:val="right"/>
        <w:rPr>
          <w:spacing w:val="-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ХАНТЫ-МАНСИЙСКИЙ АВТОНОМНЫЙ ОКРУГ - ЮГРА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ХАНТЫ-МАНСИЙСКИЙ РАЙОН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СЕЛИЯРОВО</w:t>
      </w:r>
    </w:p>
    <w:p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СОВЕТ ДЕПУТАТОВ</w:t>
      </w:r>
    </w:p>
    <w:p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РЕШЕНИЕ</w:t>
      </w:r>
    </w:p>
    <w:p>
      <w:pPr>
        <w:jc w:val="center"/>
        <w:outlineLvl w:val="0"/>
        <w:rPr>
          <w:b/>
          <w:bCs/>
          <w:kern w:val="36"/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00.00.2022                                                                                               № 00</w:t>
      </w:r>
    </w:p>
    <w:p>
      <w:pPr>
        <w:jc w:val="both"/>
        <w:rPr>
          <w:sz w:val="28"/>
          <w:szCs w:val="28"/>
        </w:rPr>
      </w:pPr>
    </w:p>
    <w:p>
      <w:pPr>
        <w:shd w:val="clear" w:color="auto" w:fill="FFFFFF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сельского поселения Селиярово от 20.02.2012 № 163 «О</w:t>
      </w:r>
      <w:r>
        <w:rPr>
          <w:spacing w:val="-4"/>
          <w:sz w:val="28"/>
          <w:szCs w:val="28"/>
        </w:rPr>
        <w:t xml:space="preserve">б утверждении </w:t>
      </w:r>
      <w:r>
        <w:rPr>
          <w:sz w:val="28"/>
          <w:szCs w:val="28"/>
        </w:rPr>
        <w:t>правил землепользования и застройки сельского поселения Селиярово»</w:t>
      </w:r>
    </w:p>
    <w:p>
      <w:pPr>
        <w:shd w:val="clear" w:color="auto" w:fill="FFFFFF"/>
        <w:tabs>
          <w:tab w:val="center" w:pos="1985"/>
          <w:tab w:val="left" w:pos="3828"/>
          <w:tab w:val="left" w:pos="4536"/>
        </w:tabs>
        <w:ind w:right="5242"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Градостроительным кодексом Российской Федерации, Федеральным законом от 29.12.20210 № 468-ФЗ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Уставом сельского поселения Селиярово, Совет депутатов сельского поселения Селиярово</w:t>
      </w:r>
    </w:p>
    <w:p>
      <w:pPr>
        <w:shd w:val="clear" w:color="auto" w:fill="FFFFFF"/>
        <w:tabs>
          <w:tab w:val="left" w:pos="709"/>
          <w:tab w:val="center" w:pos="1985"/>
        </w:tabs>
        <w:ind w:left="851" w:firstLine="709"/>
        <w:rPr>
          <w:b/>
          <w:spacing w:val="-4"/>
          <w:sz w:val="28"/>
          <w:szCs w:val="28"/>
        </w:rPr>
      </w:pPr>
    </w:p>
    <w:p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>
      <w:pPr>
        <w:ind w:firstLine="720"/>
        <w:jc w:val="both"/>
        <w:rPr>
          <w:sz w:val="28"/>
          <w:szCs w:val="28"/>
        </w:rPr>
      </w:pPr>
    </w:p>
    <w:p>
      <w:pPr>
        <w:shd w:val="clear" w:color="auto" w:fill="FFFFFF"/>
        <w:tabs>
          <w:tab w:val="left" w:pos="1134"/>
          <w:tab w:val="center" w:pos="1985"/>
          <w:tab w:val="left" w:pos="4536"/>
        </w:tabs>
        <w:ind w:right="-2" w:firstLine="720"/>
        <w:jc w:val="both"/>
        <w:rPr>
          <w:sz w:val="28"/>
          <w:szCs w:val="28"/>
        </w:rPr>
      </w:pPr>
      <w:bookmarkStart w:id="0" w:name="_Hlk65752991"/>
      <w:bookmarkStart w:id="1" w:name="_Hlk66701447"/>
      <w:bookmarkStart w:id="2" w:name="_Hlk67327027"/>
      <w:bookmarkStart w:id="3" w:name="_Hlk66710391"/>
      <w:r>
        <w:rPr>
          <w:sz w:val="28"/>
          <w:szCs w:val="28"/>
        </w:rPr>
        <w:t>1. Внести изменения в решение Совета депутатов сельского поселения Селиярово от 20.02.2012 № 163 «Об утверждении правил землепользования и застройки сельского поселения Селиярово» (далее – Решение) следующие изменения: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решению часть 3 статьи 4 дополнить пунктами 6, 7 следующего содержания: </w:t>
      </w:r>
    </w:p>
    <w:p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 </w:t>
      </w:r>
    </w:p>
    <w:p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 территории.».</w:t>
      </w:r>
    </w:p>
    <w:p>
      <w:pPr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В статье 1 приложения 1 к правилам землепользования и застройки слова «Минэкономразвития России от 01.09.2014 № 540» заменить словами «Росреестра от 10.11.2020 № П/0412».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Таблицу «Основные виды и параметры разрешенного использования земельных участков и объектов капитального строительства» части 2.5 «</w:t>
      </w:r>
      <w:r>
        <w:rPr>
          <w:rFonts w:eastAsia="Calibri"/>
          <w:sz w:val="28"/>
          <w:szCs w:val="28"/>
        </w:rPr>
        <w:t xml:space="preserve">Зона транспортной инфраструктуры (Т)» статьи 2 </w:t>
      </w:r>
      <w:r>
        <w:rPr>
          <w:sz w:val="28"/>
          <w:szCs w:val="28"/>
        </w:rPr>
        <w:t xml:space="preserve">приложения 1 к Правилам </w:t>
      </w:r>
      <w:r>
        <w:rPr>
          <w:spacing w:val="-4"/>
          <w:sz w:val="28"/>
          <w:szCs w:val="28"/>
        </w:rPr>
        <w:t xml:space="preserve">землепользования и застройки дополнить </w:t>
      </w:r>
      <w:r>
        <w:rPr>
          <w:sz w:val="28"/>
          <w:szCs w:val="28"/>
        </w:rPr>
        <w:t>строками следующего содержания:</w:t>
      </w:r>
    </w:p>
    <w:p>
      <w:pPr>
        <w:ind w:firstLine="284"/>
        <w:jc w:val="both"/>
        <w:rPr>
          <w:sz w:val="28"/>
          <w:szCs w:val="28"/>
        </w:rPr>
      </w:pPr>
    </w:p>
    <w:tbl>
      <w:tblPr>
        <w:tblStyle w:val="9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066"/>
        <w:gridCol w:w="396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Водный транспорт</w:t>
            </w:r>
          </w:p>
        </w:tc>
        <w:tc>
          <w:tcPr>
            <w:tcW w:w="106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3969" w:type="dxa"/>
          </w:tcPr>
          <w:p>
            <w:pPr>
              <w:contextualSpacing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Минимальная площадь участка - не подлежит установлению.</w:t>
            </w:r>
          </w:p>
          <w:p>
            <w:pPr>
              <w:contextualSpacing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Максимальная площадь участка - не подлежит установлению.</w:t>
            </w:r>
          </w:p>
          <w:p>
            <w:pPr>
              <w:contextualSpacing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Количество этажей – до 2 надземных этажей включительно.</w:t>
            </w:r>
          </w:p>
          <w:p>
            <w:pPr>
              <w:contextualSpacing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Минимальный отступ от красной линии - не подлежит установлению.</w:t>
            </w:r>
          </w:p>
          <w:p>
            <w:pPr>
              <w:contextualSpacing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Расстояние от границ смежного земельного участка - не подлежит установлению. 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Максимальный процент застройки в границах земельного участка – не подлежит установлению.</w:t>
            </w:r>
          </w:p>
        </w:tc>
        <w:tc>
          <w:tcPr>
            <w:tcW w:w="2977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земельных участков в границах зон с особыми условиями использования территории осуществлять в соответствии со статьями 3-11 настоящих регламентов и действующим законодательством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Воздушный транспорт</w:t>
            </w:r>
          </w:p>
        </w:tc>
        <w:tc>
          <w:tcPr>
            <w:tcW w:w="106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3969" w:type="dxa"/>
          </w:tcPr>
          <w:p>
            <w:pPr>
              <w:contextualSpacing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Минимальная площадь участка - не подлежит установлению.</w:t>
            </w:r>
          </w:p>
          <w:p>
            <w:pPr>
              <w:contextualSpacing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Максимальная площадь участка - не подлежит установлению.</w:t>
            </w:r>
          </w:p>
          <w:p>
            <w:pPr>
              <w:contextualSpacing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Количество этажей – до 2 надземных этажей включительно.</w:t>
            </w:r>
          </w:p>
          <w:p>
            <w:pPr>
              <w:contextualSpacing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Минимальный отступ от красной линии - не подлежит установлению.</w:t>
            </w:r>
          </w:p>
          <w:p>
            <w:pPr>
              <w:contextualSpacing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Расстояние от границ смежного земельного участка - не подлежит установлению. </w:t>
            </w:r>
          </w:p>
          <w:p>
            <w:pPr>
              <w:contextualSpacing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Максимальный процент застройки в границах земельного участка – не подлежит установлению.</w:t>
            </w:r>
          </w:p>
        </w:tc>
        <w:tc>
          <w:tcPr>
            <w:tcW w:w="2977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земельных участков в границах зон с особыми условиями использования территории осуществлять в соответствии со статьями 3-11 настоящих регламентов и действующим законодательством </w:t>
            </w:r>
          </w:p>
        </w:tc>
      </w:tr>
    </w:tbl>
    <w:p>
      <w:pPr>
        <w:ind w:firstLine="284"/>
        <w:jc w:val="right"/>
        <w:rPr>
          <w:sz w:val="28"/>
          <w:szCs w:val="28"/>
        </w:rPr>
      </w:pPr>
    </w:p>
    <w:p>
      <w:pPr>
        <w:shd w:val="clear" w:color="auto" w:fill="FFFFFF"/>
        <w:tabs>
          <w:tab w:val="left" w:pos="709"/>
          <w:tab w:val="center" w:pos="1276"/>
          <w:tab w:val="left" w:pos="4111"/>
          <w:tab w:val="left" w:pos="4536"/>
        </w:tabs>
        <w:ind w:right="-2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1.4. Приложение 2 к правилам землепользования и застройки сельского поселения Селиярово изложить в редакции согласно приложению, к настоящему решению.</w:t>
      </w:r>
    </w:p>
    <w:bookmarkEnd w:id="0"/>
    <w:bookmarkEnd w:id="1"/>
    <w:bookmarkEnd w:id="2"/>
    <w:bookmarkEnd w:id="3"/>
    <w:p>
      <w:pPr>
        <w:shd w:val="clear" w:color="auto" w:fill="FFFFFF"/>
        <w:tabs>
          <w:tab w:val="left" w:pos="709"/>
          <w:tab w:val="center" w:pos="1985"/>
          <w:tab w:val="left" w:pos="4111"/>
          <w:tab w:val="left" w:pos="453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>
      <w:pPr>
        <w:jc w:val="both"/>
        <w:rPr>
          <w:sz w:val="28"/>
          <w:szCs w:val="28"/>
        </w:rPr>
      </w:pPr>
    </w:p>
    <w:p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Глава сельского поселения                                                              А.А. Юдин</w:t>
      </w:r>
    </w:p>
    <w:sectPr>
      <w:footerReference r:id="rId3" w:type="default"/>
      <w:footerReference r:id="rId4" w:type="even"/>
      <w:pgSz w:w="11906" w:h="16838"/>
      <w:pgMar w:top="1418" w:right="1247" w:bottom="1134" w:left="158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1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autoHyphenation/>
  <w:hyphenationZone w:val="357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E"/>
    <w:rsid w:val="0000102E"/>
    <w:rsid w:val="00005EEB"/>
    <w:rsid w:val="000106B5"/>
    <w:rsid w:val="00011003"/>
    <w:rsid w:val="00013340"/>
    <w:rsid w:val="000145B6"/>
    <w:rsid w:val="00014FC9"/>
    <w:rsid w:val="00022981"/>
    <w:rsid w:val="00023F18"/>
    <w:rsid w:val="00026C9E"/>
    <w:rsid w:val="00032DA9"/>
    <w:rsid w:val="000514CC"/>
    <w:rsid w:val="00056EF2"/>
    <w:rsid w:val="000577DB"/>
    <w:rsid w:val="000643A9"/>
    <w:rsid w:val="00065E1C"/>
    <w:rsid w:val="000839AC"/>
    <w:rsid w:val="00085CB1"/>
    <w:rsid w:val="00085F98"/>
    <w:rsid w:val="00086F8B"/>
    <w:rsid w:val="00091450"/>
    <w:rsid w:val="00091780"/>
    <w:rsid w:val="0009417C"/>
    <w:rsid w:val="00094246"/>
    <w:rsid w:val="000B5B55"/>
    <w:rsid w:val="000B676B"/>
    <w:rsid w:val="000B7CDD"/>
    <w:rsid w:val="000C5103"/>
    <w:rsid w:val="000D2199"/>
    <w:rsid w:val="0010200F"/>
    <w:rsid w:val="001056B1"/>
    <w:rsid w:val="00113FA8"/>
    <w:rsid w:val="001142D3"/>
    <w:rsid w:val="001157E2"/>
    <w:rsid w:val="0011687E"/>
    <w:rsid w:val="001262B2"/>
    <w:rsid w:val="00137C6E"/>
    <w:rsid w:val="001452B3"/>
    <w:rsid w:val="00146E7A"/>
    <w:rsid w:val="001613E6"/>
    <w:rsid w:val="001631A4"/>
    <w:rsid w:val="001714DA"/>
    <w:rsid w:val="00185836"/>
    <w:rsid w:val="00185F13"/>
    <w:rsid w:val="00196766"/>
    <w:rsid w:val="001B7246"/>
    <w:rsid w:val="001C6B83"/>
    <w:rsid w:val="001D2136"/>
    <w:rsid w:val="001D22D7"/>
    <w:rsid w:val="001D31FE"/>
    <w:rsid w:val="001E3356"/>
    <w:rsid w:val="001E3C1A"/>
    <w:rsid w:val="001E79CC"/>
    <w:rsid w:val="001F4685"/>
    <w:rsid w:val="001F5639"/>
    <w:rsid w:val="00212B78"/>
    <w:rsid w:val="00225CB0"/>
    <w:rsid w:val="00233AE1"/>
    <w:rsid w:val="002461AB"/>
    <w:rsid w:val="00250642"/>
    <w:rsid w:val="002541F2"/>
    <w:rsid w:val="00257387"/>
    <w:rsid w:val="00274B09"/>
    <w:rsid w:val="00274FE4"/>
    <w:rsid w:val="00282E03"/>
    <w:rsid w:val="002845CB"/>
    <w:rsid w:val="00284ECF"/>
    <w:rsid w:val="00296FBB"/>
    <w:rsid w:val="002A43C4"/>
    <w:rsid w:val="002A732F"/>
    <w:rsid w:val="002C187E"/>
    <w:rsid w:val="002C26A3"/>
    <w:rsid w:val="002C4E3E"/>
    <w:rsid w:val="002D104D"/>
    <w:rsid w:val="002F5494"/>
    <w:rsid w:val="002F5647"/>
    <w:rsid w:val="00301D2E"/>
    <w:rsid w:val="00302417"/>
    <w:rsid w:val="003217F1"/>
    <w:rsid w:val="00322F49"/>
    <w:rsid w:val="003268A3"/>
    <w:rsid w:val="003360C6"/>
    <w:rsid w:val="00336C34"/>
    <w:rsid w:val="003430DA"/>
    <w:rsid w:val="00345B66"/>
    <w:rsid w:val="00346646"/>
    <w:rsid w:val="00356973"/>
    <w:rsid w:val="00390D8A"/>
    <w:rsid w:val="00392861"/>
    <w:rsid w:val="00392BB3"/>
    <w:rsid w:val="003A6D7A"/>
    <w:rsid w:val="003B27FE"/>
    <w:rsid w:val="003B37CA"/>
    <w:rsid w:val="003C34D9"/>
    <w:rsid w:val="003E1D81"/>
    <w:rsid w:val="003F07D4"/>
    <w:rsid w:val="003F3DC3"/>
    <w:rsid w:val="003F46AE"/>
    <w:rsid w:val="00401F94"/>
    <w:rsid w:val="0041078F"/>
    <w:rsid w:val="00416A6C"/>
    <w:rsid w:val="00420D6B"/>
    <w:rsid w:val="00421470"/>
    <w:rsid w:val="00425B00"/>
    <w:rsid w:val="00425B37"/>
    <w:rsid w:val="00436D81"/>
    <w:rsid w:val="0044012F"/>
    <w:rsid w:val="004438AD"/>
    <w:rsid w:val="00454C44"/>
    <w:rsid w:val="00454FD6"/>
    <w:rsid w:val="00461B8C"/>
    <w:rsid w:val="00467EEB"/>
    <w:rsid w:val="004771A1"/>
    <w:rsid w:val="0048758A"/>
    <w:rsid w:val="004A1184"/>
    <w:rsid w:val="004A32A8"/>
    <w:rsid w:val="004A4C69"/>
    <w:rsid w:val="004B5CD8"/>
    <w:rsid w:val="004C04B2"/>
    <w:rsid w:val="004C0A96"/>
    <w:rsid w:val="004C3856"/>
    <w:rsid w:val="004C54A1"/>
    <w:rsid w:val="004D35A9"/>
    <w:rsid w:val="004F574F"/>
    <w:rsid w:val="005025CD"/>
    <w:rsid w:val="00511D22"/>
    <w:rsid w:val="005120F3"/>
    <w:rsid w:val="00516833"/>
    <w:rsid w:val="0051714F"/>
    <w:rsid w:val="00517C95"/>
    <w:rsid w:val="00536850"/>
    <w:rsid w:val="005378A0"/>
    <w:rsid w:val="00546769"/>
    <w:rsid w:val="00550A6D"/>
    <w:rsid w:val="00553B8C"/>
    <w:rsid w:val="005560DD"/>
    <w:rsid w:val="0056265B"/>
    <w:rsid w:val="005671FA"/>
    <w:rsid w:val="00570269"/>
    <w:rsid w:val="005755E9"/>
    <w:rsid w:val="0059103D"/>
    <w:rsid w:val="00592E20"/>
    <w:rsid w:val="005A1F4D"/>
    <w:rsid w:val="005A4F98"/>
    <w:rsid w:val="005A7D7D"/>
    <w:rsid w:val="005B239C"/>
    <w:rsid w:val="005B626A"/>
    <w:rsid w:val="005B63B3"/>
    <w:rsid w:val="005C44D1"/>
    <w:rsid w:val="005D6B26"/>
    <w:rsid w:val="005D716F"/>
    <w:rsid w:val="005E43BD"/>
    <w:rsid w:val="005E6936"/>
    <w:rsid w:val="005F1F1B"/>
    <w:rsid w:val="005F2511"/>
    <w:rsid w:val="005F3C8D"/>
    <w:rsid w:val="00607386"/>
    <w:rsid w:val="00615983"/>
    <w:rsid w:val="00620E6B"/>
    <w:rsid w:val="00636396"/>
    <w:rsid w:val="00637546"/>
    <w:rsid w:val="006513FC"/>
    <w:rsid w:val="00651F4A"/>
    <w:rsid w:val="0065529F"/>
    <w:rsid w:val="006603CC"/>
    <w:rsid w:val="006622A6"/>
    <w:rsid w:val="006704B7"/>
    <w:rsid w:val="006914CD"/>
    <w:rsid w:val="006B30D8"/>
    <w:rsid w:val="006B55E3"/>
    <w:rsid w:val="006B6105"/>
    <w:rsid w:val="006D0AF7"/>
    <w:rsid w:val="006D3BD0"/>
    <w:rsid w:val="006E2596"/>
    <w:rsid w:val="006E566D"/>
    <w:rsid w:val="006E654E"/>
    <w:rsid w:val="00702809"/>
    <w:rsid w:val="00707EA5"/>
    <w:rsid w:val="007159BC"/>
    <w:rsid w:val="007219D6"/>
    <w:rsid w:val="0072451C"/>
    <w:rsid w:val="00726596"/>
    <w:rsid w:val="00732460"/>
    <w:rsid w:val="00771DFD"/>
    <w:rsid w:val="00772A9C"/>
    <w:rsid w:val="0077563E"/>
    <w:rsid w:val="00775B81"/>
    <w:rsid w:val="00786B95"/>
    <w:rsid w:val="0079145E"/>
    <w:rsid w:val="00794C74"/>
    <w:rsid w:val="007B361C"/>
    <w:rsid w:val="007B5F9B"/>
    <w:rsid w:val="007D7324"/>
    <w:rsid w:val="007E384B"/>
    <w:rsid w:val="007E3AAD"/>
    <w:rsid w:val="00803C56"/>
    <w:rsid w:val="0080457D"/>
    <w:rsid w:val="0081562E"/>
    <w:rsid w:val="008163CD"/>
    <w:rsid w:val="008344BC"/>
    <w:rsid w:val="008352E2"/>
    <w:rsid w:val="00837507"/>
    <w:rsid w:val="00850F85"/>
    <w:rsid w:val="008526BC"/>
    <w:rsid w:val="008551D0"/>
    <w:rsid w:val="008655A5"/>
    <w:rsid w:val="00866D62"/>
    <w:rsid w:val="00875A4A"/>
    <w:rsid w:val="00877E89"/>
    <w:rsid w:val="00880573"/>
    <w:rsid w:val="00881103"/>
    <w:rsid w:val="008813A1"/>
    <w:rsid w:val="008923FE"/>
    <w:rsid w:val="008939FD"/>
    <w:rsid w:val="00894D6D"/>
    <w:rsid w:val="008A2089"/>
    <w:rsid w:val="008B3D6A"/>
    <w:rsid w:val="008C4CC9"/>
    <w:rsid w:val="008C4E60"/>
    <w:rsid w:val="008C61E8"/>
    <w:rsid w:val="008D28B6"/>
    <w:rsid w:val="008D408E"/>
    <w:rsid w:val="008E7583"/>
    <w:rsid w:val="008F4619"/>
    <w:rsid w:val="00901536"/>
    <w:rsid w:val="00907ADA"/>
    <w:rsid w:val="0091530A"/>
    <w:rsid w:val="009153AF"/>
    <w:rsid w:val="00916790"/>
    <w:rsid w:val="00923978"/>
    <w:rsid w:val="00935244"/>
    <w:rsid w:val="00936C7E"/>
    <w:rsid w:val="0095543B"/>
    <w:rsid w:val="009556D5"/>
    <w:rsid w:val="00981AB5"/>
    <w:rsid w:val="0099010F"/>
    <w:rsid w:val="00992A5B"/>
    <w:rsid w:val="009A6189"/>
    <w:rsid w:val="009C0C6F"/>
    <w:rsid w:val="009C556D"/>
    <w:rsid w:val="009D1DCF"/>
    <w:rsid w:val="009D4AFB"/>
    <w:rsid w:val="009D587B"/>
    <w:rsid w:val="009D7C46"/>
    <w:rsid w:val="009E4218"/>
    <w:rsid w:val="009E676F"/>
    <w:rsid w:val="00A06E02"/>
    <w:rsid w:val="00A10D68"/>
    <w:rsid w:val="00A12C84"/>
    <w:rsid w:val="00A12FBA"/>
    <w:rsid w:val="00A15261"/>
    <w:rsid w:val="00A157C3"/>
    <w:rsid w:val="00A22772"/>
    <w:rsid w:val="00A30DE8"/>
    <w:rsid w:val="00A34A38"/>
    <w:rsid w:val="00A41A46"/>
    <w:rsid w:val="00A44298"/>
    <w:rsid w:val="00A44438"/>
    <w:rsid w:val="00A515E7"/>
    <w:rsid w:val="00A62AD7"/>
    <w:rsid w:val="00A72127"/>
    <w:rsid w:val="00A74584"/>
    <w:rsid w:val="00A74FEF"/>
    <w:rsid w:val="00AA7829"/>
    <w:rsid w:val="00AB3464"/>
    <w:rsid w:val="00AC2291"/>
    <w:rsid w:val="00AC2582"/>
    <w:rsid w:val="00AC26A8"/>
    <w:rsid w:val="00AE1C51"/>
    <w:rsid w:val="00AE5863"/>
    <w:rsid w:val="00AF221E"/>
    <w:rsid w:val="00AF2F0A"/>
    <w:rsid w:val="00AF4F6E"/>
    <w:rsid w:val="00AF5314"/>
    <w:rsid w:val="00AF6497"/>
    <w:rsid w:val="00B0630F"/>
    <w:rsid w:val="00B12274"/>
    <w:rsid w:val="00B15D09"/>
    <w:rsid w:val="00B20E65"/>
    <w:rsid w:val="00B4461E"/>
    <w:rsid w:val="00B45032"/>
    <w:rsid w:val="00B46EFD"/>
    <w:rsid w:val="00B56F90"/>
    <w:rsid w:val="00B5705D"/>
    <w:rsid w:val="00B61244"/>
    <w:rsid w:val="00B72124"/>
    <w:rsid w:val="00B76DA0"/>
    <w:rsid w:val="00B852FA"/>
    <w:rsid w:val="00B87635"/>
    <w:rsid w:val="00B95C1B"/>
    <w:rsid w:val="00BA4654"/>
    <w:rsid w:val="00BB1867"/>
    <w:rsid w:val="00BB42BD"/>
    <w:rsid w:val="00BB5840"/>
    <w:rsid w:val="00BC1A7A"/>
    <w:rsid w:val="00BC7408"/>
    <w:rsid w:val="00BE38EB"/>
    <w:rsid w:val="00BE5CC6"/>
    <w:rsid w:val="00BF2C45"/>
    <w:rsid w:val="00C20AF6"/>
    <w:rsid w:val="00C20D8E"/>
    <w:rsid w:val="00C24907"/>
    <w:rsid w:val="00C32C67"/>
    <w:rsid w:val="00C338A3"/>
    <w:rsid w:val="00C36645"/>
    <w:rsid w:val="00C71A15"/>
    <w:rsid w:val="00C843FB"/>
    <w:rsid w:val="00C84AD1"/>
    <w:rsid w:val="00C92777"/>
    <w:rsid w:val="00CA537B"/>
    <w:rsid w:val="00CA7CB2"/>
    <w:rsid w:val="00CB0D60"/>
    <w:rsid w:val="00CB3721"/>
    <w:rsid w:val="00CB427B"/>
    <w:rsid w:val="00CD24C5"/>
    <w:rsid w:val="00CF1269"/>
    <w:rsid w:val="00D02609"/>
    <w:rsid w:val="00D11B45"/>
    <w:rsid w:val="00D11D79"/>
    <w:rsid w:val="00D12A56"/>
    <w:rsid w:val="00D13C23"/>
    <w:rsid w:val="00D146E8"/>
    <w:rsid w:val="00D2410D"/>
    <w:rsid w:val="00D33340"/>
    <w:rsid w:val="00D33A33"/>
    <w:rsid w:val="00D352F6"/>
    <w:rsid w:val="00D440AC"/>
    <w:rsid w:val="00D62A39"/>
    <w:rsid w:val="00D65797"/>
    <w:rsid w:val="00D679C7"/>
    <w:rsid w:val="00D70215"/>
    <w:rsid w:val="00D72F8E"/>
    <w:rsid w:val="00D74082"/>
    <w:rsid w:val="00D90945"/>
    <w:rsid w:val="00DA2B3B"/>
    <w:rsid w:val="00DA6603"/>
    <w:rsid w:val="00DB7C60"/>
    <w:rsid w:val="00DD19DF"/>
    <w:rsid w:val="00DD3506"/>
    <w:rsid w:val="00DD4C80"/>
    <w:rsid w:val="00DE5F7A"/>
    <w:rsid w:val="00DF5253"/>
    <w:rsid w:val="00DF7D02"/>
    <w:rsid w:val="00E02398"/>
    <w:rsid w:val="00E0410D"/>
    <w:rsid w:val="00E06158"/>
    <w:rsid w:val="00E12724"/>
    <w:rsid w:val="00E147B9"/>
    <w:rsid w:val="00E211CC"/>
    <w:rsid w:val="00E23436"/>
    <w:rsid w:val="00E27CF4"/>
    <w:rsid w:val="00E35B55"/>
    <w:rsid w:val="00E409C1"/>
    <w:rsid w:val="00E41E73"/>
    <w:rsid w:val="00E5112D"/>
    <w:rsid w:val="00E60310"/>
    <w:rsid w:val="00E6720A"/>
    <w:rsid w:val="00E67210"/>
    <w:rsid w:val="00E75B24"/>
    <w:rsid w:val="00E7609A"/>
    <w:rsid w:val="00E81A4F"/>
    <w:rsid w:val="00E82202"/>
    <w:rsid w:val="00E824A1"/>
    <w:rsid w:val="00E82BC3"/>
    <w:rsid w:val="00E83983"/>
    <w:rsid w:val="00E95754"/>
    <w:rsid w:val="00E97F04"/>
    <w:rsid w:val="00EA5666"/>
    <w:rsid w:val="00EB2A93"/>
    <w:rsid w:val="00EC3F4B"/>
    <w:rsid w:val="00EC7F5B"/>
    <w:rsid w:val="00ED34E3"/>
    <w:rsid w:val="00ED4778"/>
    <w:rsid w:val="00EE4445"/>
    <w:rsid w:val="00EE53F8"/>
    <w:rsid w:val="00EF0FD7"/>
    <w:rsid w:val="00EF17E6"/>
    <w:rsid w:val="00EF6F10"/>
    <w:rsid w:val="00F123C6"/>
    <w:rsid w:val="00F15890"/>
    <w:rsid w:val="00F23FDC"/>
    <w:rsid w:val="00F370E2"/>
    <w:rsid w:val="00F510D1"/>
    <w:rsid w:val="00F52C16"/>
    <w:rsid w:val="00F53A73"/>
    <w:rsid w:val="00F74586"/>
    <w:rsid w:val="00F9077A"/>
    <w:rsid w:val="00F90E20"/>
    <w:rsid w:val="00F94ADD"/>
    <w:rsid w:val="00FB3F17"/>
    <w:rsid w:val="00FB4A68"/>
    <w:rsid w:val="15B0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both"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spacing w:line="360" w:lineRule="auto"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5">
    <w:name w:val="heading 4"/>
    <w:basedOn w:val="1"/>
    <w:next w:val="1"/>
    <w:qFormat/>
    <w:uiPriority w:val="0"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b/>
      <w:bCs/>
    </w:rPr>
  </w:style>
  <w:style w:type="paragraph" w:styleId="7">
    <w:name w:val="heading 6"/>
    <w:basedOn w:val="1"/>
    <w:next w:val="1"/>
    <w:qFormat/>
    <w:uiPriority w:val="0"/>
    <w:pPr>
      <w:keepNext/>
      <w:jc w:val="right"/>
      <w:outlineLvl w:val="5"/>
    </w:pPr>
    <w:rPr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page number"/>
    <w:basedOn w:val="8"/>
    <w:qFormat/>
    <w:uiPriority w:val="0"/>
  </w:style>
  <w:style w:type="paragraph" w:styleId="12">
    <w:name w:val="Balloon Text"/>
    <w:basedOn w:val="1"/>
    <w:link w:val="25"/>
    <w:qFormat/>
    <w:uiPriority w:val="0"/>
    <w:rPr>
      <w:rFonts w:ascii="Tahoma" w:hAnsi="Tahoma" w:cs="Tahoma"/>
      <w:sz w:val="16"/>
      <w:szCs w:val="16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Body Text"/>
    <w:basedOn w:val="1"/>
    <w:uiPriority w:val="0"/>
    <w:pPr>
      <w:spacing w:line="360" w:lineRule="auto"/>
      <w:jc w:val="both"/>
    </w:pPr>
    <w:rPr>
      <w:sz w:val="28"/>
    </w:rPr>
  </w:style>
  <w:style w:type="paragraph" w:styleId="15">
    <w:name w:val="Title"/>
    <w:basedOn w:val="1"/>
    <w:link w:val="22"/>
    <w:qFormat/>
    <w:uiPriority w:val="0"/>
    <w:pPr>
      <w:spacing w:line="360" w:lineRule="auto"/>
      <w:jc w:val="center"/>
    </w:pPr>
    <w:rPr>
      <w:b/>
      <w:bCs/>
    </w:rPr>
  </w:style>
  <w:style w:type="paragraph" w:styleId="16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7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9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0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1">
    <w:name w:val="Заголовок 1 Знак"/>
    <w:link w:val="2"/>
    <w:qFormat/>
    <w:uiPriority w:val="0"/>
    <w:rPr>
      <w:sz w:val="28"/>
      <w:szCs w:val="24"/>
    </w:rPr>
  </w:style>
  <w:style w:type="character" w:customStyle="1" w:styleId="22">
    <w:name w:val="Название Знак"/>
    <w:link w:val="15"/>
    <w:qFormat/>
    <w:uiPriority w:val="0"/>
    <w:rPr>
      <w:b/>
      <w:bCs/>
      <w:sz w:val="24"/>
      <w:szCs w:val="24"/>
    </w:rPr>
  </w:style>
  <w:style w:type="character" w:customStyle="1" w:styleId="23">
    <w:name w:val="Font Style48"/>
    <w:qFormat/>
    <w:uiPriority w:val="0"/>
    <w:rPr>
      <w:rFonts w:ascii="Times New Roman" w:hAnsi="Times New Roman" w:cs="Times New Roman"/>
      <w:sz w:val="26"/>
      <w:szCs w:val="26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Текст выноски Знак"/>
    <w:basedOn w:val="8"/>
    <w:link w:val="12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BAC02-490F-438F-872D-680330B941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</Company>
  <Pages>1</Pages>
  <Words>878</Words>
  <Characters>5011</Characters>
  <Lines>41</Lines>
  <Paragraphs>11</Paragraphs>
  <TotalTime>179</TotalTime>
  <ScaleCrop>false</ScaleCrop>
  <LinksUpToDate>false</LinksUpToDate>
  <CharactersWithSpaces>5878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2018-06-19T09:35:00Z</dcterms:created>
  <dc:creator>-</dc:creator>
  <cp:lastModifiedBy>admslr</cp:lastModifiedBy>
  <cp:lastPrinted>2021-12-25T09:59:00Z</cp:lastPrinted>
  <dcterms:modified xsi:type="dcterms:W3CDTF">2022-04-01T05:24:47Z</dcterms:modified>
  <dc:title>РОССИЙСКАЯ ФЕДЕРАЦИЯ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897DF975D87543FB915150ECAD5C46FB</vt:lpwstr>
  </property>
</Properties>
</file>